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BE1B" w14:textId="36433CB8" w:rsidR="003B55D1" w:rsidRDefault="003B55D1" w:rsidP="003B55D1">
      <w:pPr>
        <w:pBdr>
          <w:bottom w:val="single" w:sz="6" w:space="1" w:color="auto"/>
        </w:pBdr>
      </w:pPr>
      <w:r>
        <w:t>February’s cardholder notice covers group lodging reminders, card program resources, workflow emails, and enrolling in fraud alerts.</w:t>
      </w:r>
    </w:p>
    <w:p w14:paraId="035DD1BA" w14:textId="77777777" w:rsidR="003B55D1" w:rsidRDefault="003B55D1" w:rsidP="003B55D1">
      <w:pPr>
        <w:pBdr>
          <w:bottom w:val="single" w:sz="6" w:space="1" w:color="auto"/>
        </w:pBdr>
      </w:pPr>
    </w:p>
    <w:p w14:paraId="7AF3C727" w14:textId="77777777" w:rsidR="00BC7FBF" w:rsidRPr="00BC7FBF" w:rsidRDefault="00BC7FBF" w:rsidP="00BC7FBF">
      <w:r w:rsidRPr="00BC7FBF">
        <w:rPr>
          <w:b/>
          <w:bCs/>
        </w:rPr>
        <w:t>Group Lodging Reminder (Spring Travel)</w:t>
      </w:r>
      <w:r w:rsidRPr="00BC7FBF">
        <w:br/>
        <w:t>Spring Break 2026 is March 16–20, and many groups will be traveling between now and the end of March. Please keep the following lodging guidelines in mind when using University cards:</w:t>
      </w:r>
    </w:p>
    <w:p w14:paraId="752C259D" w14:textId="77777777" w:rsidR="00BC7FBF" w:rsidRPr="00BC7FBF" w:rsidRDefault="00BC7FBF" w:rsidP="00BC7FBF">
      <w:pPr>
        <w:numPr>
          <w:ilvl w:val="0"/>
          <w:numId w:val="1"/>
        </w:numPr>
      </w:pPr>
      <w:r w:rsidRPr="00BC7FBF">
        <w:rPr>
          <w:b/>
          <w:bCs/>
        </w:rPr>
        <w:t>Allowed:</w:t>
      </w:r>
    </w:p>
    <w:p w14:paraId="39AC0161" w14:textId="6198EFB3" w:rsidR="00BC7FBF" w:rsidRPr="00BC7FBF" w:rsidRDefault="00BC7FBF" w:rsidP="00BC7FBF">
      <w:pPr>
        <w:numPr>
          <w:ilvl w:val="1"/>
          <w:numId w:val="1"/>
        </w:numPr>
      </w:pPr>
      <w:r w:rsidRPr="00BC7FBF">
        <w:t>Single traveler or small</w:t>
      </w:r>
      <w:r w:rsidR="00471A05">
        <w:t xml:space="preserve"> </w:t>
      </w:r>
      <w:r w:rsidRPr="00BC7FBF">
        <w:t>employee groups</w:t>
      </w:r>
    </w:p>
    <w:p w14:paraId="16BDBE22" w14:textId="77777777" w:rsidR="00BC7FBF" w:rsidRPr="00BC7FBF" w:rsidRDefault="00BC7FBF" w:rsidP="00BC7FBF">
      <w:pPr>
        <w:numPr>
          <w:ilvl w:val="1"/>
          <w:numId w:val="1"/>
        </w:numPr>
      </w:pPr>
      <w:r w:rsidRPr="00BC7FBF">
        <w:t>Placing a card on file to hold a reservation when no charge is incurred</w:t>
      </w:r>
    </w:p>
    <w:p w14:paraId="0833D44E" w14:textId="77777777" w:rsidR="00BC7FBF" w:rsidRPr="00BC7FBF" w:rsidRDefault="00BC7FBF" w:rsidP="00BC7FBF">
      <w:pPr>
        <w:numPr>
          <w:ilvl w:val="0"/>
          <w:numId w:val="1"/>
        </w:numPr>
      </w:pPr>
      <w:r w:rsidRPr="00BC7FBF">
        <w:rPr>
          <w:b/>
          <w:bCs/>
        </w:rPr>
        <w:t>Not Allowed:</w:t>
      </w:r>
    </w:p>
    <w:p w14:paraId="47645F6B" w14:textId="4906532E" w:rsidR="00BC7FBF" w:rsidRDefault="00BC7FBF" w:rsidP="00BC7FBF">
      <w:pPr>
        <w:numPr>
          <w:ilvl w:val="1"/>
          <w:numId w:val="1"/>
        </w:numPr>
      </w:pPr>
      <w:r w:rsidRPr="00BC7FBF">
        <w:t>Student lodging (excluding GAs traveling in an employee capacity</w:t>
      </w:r>
      <w:r w:rsidR="0043071A">
        <w:t>, meeting the items above</w:t>
      </w:r>
      <w:r w:rsidRPr="00BC7FBF">
        <w:t>)</w:t>
      </w:r>
    </w:p>
    <w:p w14:paraId="4B0A15DD" w14:textId="0A0EE97C" w:rsidR="009E431D" w:rsidRPr="009E431D" w:rsidRDefault="009E431D" w:rsidP="009E431D">
      <w:pPr>
        <w:numPr>
          <w:ilvl w:val="0"/>
          <w:numId w:val="1"/>
        </w:numPr>
        <w:rPr>
          <w:b/>
          <w:bCs/>
        </w:rPr>
      </w:pPr>
      <w:r w:rsidRPr="009E431D">
        <w:rPr>
          <w:b/>
          <w:bCs/>
        </w:rPr>
        <w:t>Requires Preapproval:</w:t>
      </w:r>
    </w:p>
    <w:p w14:paraId="70AD76B7" w14:textId="7F55A645" w:rsidR="00BC7FBF" w:rsidRDefault="00BC7FBF" w:rsidP="00BC7FBF">
      <w:pPr>
        <w:numPr>
          <w:ilvl w:val="1"/>
          <w:numId w:val="1"/>
        </w:numPr>
      </w:pPr>
      <w:r w:rsidRPr="00BC7FBF">
        <w:t xml:space="preserve">Large group lodging requiring split payments — these </w:t>
      </w:r>
      <w:r w:rsidR="009E431D">
        <w:t xml:space="preserve">may </w:t>
      </w:r>
      <w:r w:rsidRPr="00BC7FBF">
        <w:t xml:space="preserve">require a contract and direct billing; </w:t>
      </w:r>
      <w:r w:rsidR="009E431D">
        <w:t xml:space="preserve">email </w:t>
      </w:r>
      <w:hyperlink r:id="rId7" w:history="1">
        <w:r w:rsidR="009E431D" w:rsidRPr="00E555B4">
          <w:rPr>
            <w:rStyle w:val="Hyperlink"/>
          </w:rPr>
          <w:t>Concur@tcu.edu</w:t>
        </w:r>
      </w:hyperlink>
      <w:r w:rsidR="009E431D">
        <w:t xml:space="preserve"> with details.</w:t>
      </w:r>
    </w:p>
    <w:p w14:paraId="1D4E9CC7" w14:textId="77777777" w:rsidR="003B55D1" w:rsidRDefault="003B55D1" w:rsidP="003B55D1">
      <w:pPr>
        <w:pBdr>
          <w:bottom w:val="single" w:sz="6" w:space="1" w:color="auto"/>
        </w:pBdr>
      </w:pPr>
    </w:p>
    <w:p w14:paraId="49B04B6F" w14:textId="4677124D" w:rsidR="00BC7FBF" w:rsidRPr="00BC7FBF" w:rsidRDefault="00BC7FBF" w:rsidP="00BC7FBF">
      <w:r w:rsidRPr="00BC7FBF">
        <w:rPr>
          <w:b/>
          <w:bCs/>
        </w:rPr>
        <w:t>Card Program Website &amp; Resources</w:t>
      </w:r>
      <w:r w:rsidRPr="00BC7FBF">
        <w:br/>
        <w:t xml:space="preserve">Following January’s reminder on MCCs and card restrictions, cardholders are encouraged to visit the </w:t>
      </w:r>
      <w:hyperlink r:id="rId8" w:history="1">
        <w:r w:rsidRPr="00C46E37">
          <w:rPr>
            <w:rStyle w:val="Hyperlink"/>
            <w:b/>
            <w:bCs/>
          </w:rPr>
          <w:t>Card Program website</w:t>
        </w:r>
      </w:hyperlink>
      <w:r w:rsidRPr="00BC7FBF">
        <w:t>, which is updated regularly and includes:</w:t>
      </w:r>
    </w:p>
    <w:p w14:paraId="0B4AAC08" w14:textId="77777777" w:rsidR="00BC7FBF" w:rsidRPr="00BC7FBF" w:rsidRDefault="00BC7FBF" w:rsidP="00BC7FBF">
      <w:pPr>
        <w:numPr>
          <w:ilvl w:val="0"/>
          <w:numId w:val="2"/>
        </w:numPr>
      </w:pPr>
      <w:r w:rsidRPr="00BC7FBF">
        <w:t>Step-by-step guides for submitting card requests in Concur</w:t>
      </w:r>
    </w:p>
    <w:p w14:paraId="4AB6660E" w14:textId="77777777" w:rsidR="00BC7FBF" w:rsidRPr="00BC7FBF" w:rsidRDefault="00BC7FBF" w:rsidP="00BC7FBF">
      <w:pPr>
        <w:numPr>
          <w:ilvl w:val="0"/>
          <w:numId w:val="2"/>
        </w:numPr>
      </w:pPr>
      <w:r w:rsidRPr="00BC7FBF">
        <w:t xml:space="preserve">FAQs for University cards, the AirCard, and </w:t>
      </w:r>
      <w:r w:rsidRPr="00BC7FBF">
        <w:rPr>
          <w:i/>
          <w:iCs/>
        </w:rPr>
        <w:t>Purchasing vs. Travel</w:t>
      </w:r>
      <w:r w:rsidRPr="00BC7FBF">
        <w:t xml:space="preserve"> card usage</w:t>
      </w:r>
    </w:p>
    <w:p w14:paraId="5275F4F0" w14:textId="77777777" w:rsidR="00BC7FBF" w:rsidRPr="00BC7FBF" w:rsidRDefault="00BC7FBF" w:rsidP="00BC7FBF">
      <w:pPr>
        <w:numPr>
          <w:ilvl w:val="0"/>
          <w:numId w:val="2"/>
        </w:numPr>
      </w:pPr>
      <w:r w:rsidRPr="00BC7FBF">
        <w:t>Cardholder training (available anytime as a refresher)</w:t>
      </w:r>
    </w:p>
    <w:p w14:paraId="53D5040B" w14:textId="529F93B6" w:rsidR="00B62102" w:rsidRDefault="00BC7FBF" w:rsidP="00BC7FBF">
      <w:r w:rsidRPr="00BC7FBF">
        <w:t>Please note: the card agreement link within the training module is currently broken and is being updated. The agreement link on the main website is current and functional.</w:t>
      </w:r>
      <w:r w:rsidR="00B62102">
        <w:t xml:space="preserve"> </w:t>
      </w:r>
      <w:r w:rsidRPr="00BC7FBF">
        <w:t>Feedback is always welcome.</w:t>
      </w:r>
    </w:p>
    <w:p w14:paraId="12426A77" w14:textId="44AC447D" w:rsidR="00BC7FBF" w:rsidRDefault="00BC7FBF" w:rsidP="00BC7FBF">
      <w:pPr>
        <w:pBdr>
          <w:bottom w:val="single" w:sz="6" w:space="1" w:color="auto"/>
        </w:pBdr>
      </w:pPr>
      <w:r w:rsidRPr="00BC7FBF">
        <w:t xml:space="preserve">For </w:t>
      </w:r>
      <w:r w:rsidRPr="00BC7FBF">
        <w:rPr>
          <w:b/>
          <w:bCs/>
        </w:rPr>
        <w:t xml:space="preserve">non-card </w:t>
      </w:r>
      <w:r w:rsidRPr="00BC7FBF">
        <w:t xml:space="preserve">Concur questions (expense reports, reimbursements), please contact </w:t>
      </w:r>
      <w:hyperlink r:id="rId9" w:history="1">
        <w:r w:rsidR="00B62102" w:rsidRPr="00BC7FBF">
          <w:rPr>
            <w:rStyle w:val="Hyperlink"/>
            <w:b/>
            <w:bCs/>
          </w:rPr>
          <w:t>concur@tcu.edu</w:t>
        </w:r>
      </w:hyperlink>
      <w:r w:rsidRPr="00BC7FBF">
        <w:t>.</w:t>
      </w:r>
    </w:p>
    <w:p w14:paraId="2E5288B8" w14:textId="77777777" w:rsidR="00B62102" w:rsidRDefault="00B62102" w:rsidP="00BC7FBF">
      <w:pPr>
        <w:pBdr>
          <w:bottom w:val="single" w:sz="6" w:space="1" w:color="auto"/>
        </w:pBdr>
      </w:pPr>
    </w:p>
    <w:p w14:paraId="7A052047" w14:textId="77777777" w:rsidR="00B62102" w:rsidRDefault="00BC7FBF" w:rsidP="00BC7FBF">
      <w:pPr>
        <w:rPr>
          <w:b/>
          <w:bCs/>
        </w:rPr>
      </w:pPr>
      <w:r w:rsidRPr="00BC7FBF">
        <w:rPr>
          <w:b/>
          <w:bCs/>
        </w:rPr>
        <w:t>Concur Email Notifications (Workflow Updates)</w:t>
      </w:r>
    </w:p>
    <w:p w14:paraId="18FB1174" w14:textId="6BEDA344" w:rsidR="00BC7FBF" w:rsidRPr="00BC7FBF" w:rsidRDefault="00B62102" w:rsidP="00BC7FBF">
      <w:r>
        <w:t>E</w:t>
      </w:r>
      <w:r w:rsidR="00BC7FBF" w:rsidRPr="00BC7FBF">
        <w:t xml:space="preserve">mail notifications for </w:t>
      </w:r>
      <w:r w:rsidR="00BC7FBF" w:rsidRPr="00BC7FBF">
        <w:rPr>
          <w:b/>
          <w:bCs/>
        </w:rPr>
        <w:t>card request workflow updates</w:t>
      </w:r>
      <w:r w:rsidR="00BC7FBF" w:rsidRPr="00BC7FBF">
        <w:t xml:space="preserve"> are now enabled. Previously, users only received final approval emails; these updates should help clarify where </w:t>
      </w:r>
      <w:r w:rsidR="00BC7FBF" w:rsidRPr="00BC7FBF">
        <w:lastRenderedPageBreak/>
        <w:t>requests are in the process. You can also track progress directly in Concur by viewing the request tile or timeline. If email volume becomes an issue, we will reassess options.</w:t>
      </w:r>
    </w:p>
    <w:p w14:paraId="72D947C9" w14:textId="2ECD8ADC" w:rsidR="00BC7FBF" w:rsidRPr="00BC7FBF" w:rsidRDefault="00BC7FBF" w:rsidP="00BC7FBF">
      <w:r w:rsidRPr="00BC7FBF">
        <w:t>As a reminder, most card requests route through:</w:t>
      </w:r>
      <w:r w:rsidR="00B62102">
        <w:t xml:space="preserve"> </w:t>
      </w:r>
      <w:r w:rsidRPr="00BC7FBF">
        <w:t>HR Manager → COA (if different) → Card Administrator</w:t>
      </w:r>
      <w:r>
        <w:t xml:space="preserve"> (me)</w:t>
      </w:r>
    </w:p>
    <w:p w14:paraId="14A3D026" w14:textId="154D826F" w:rsidR="00BC7FBF" w:rsidRDefault="00BC7FBF" w:rsidP="00BC7FBF">
      <w:pPr>
        <w:pBdr>
          <w:bottom w:val="single" w:sz="6" w:space="1" w:color="auto"/>
        </w:pBdr>
      </w:pPr>
      <w:r w:rsidRPr="00BC7FBF">
        <w:t xml:space="preserve">Providing </w:t>
      </w:r>
      <w:r>
        <w:t>sufficient</w:t>
      </w:r>
      <w:r w:rsidRPr="00BC7FBF">
        <w:t xml:space="preserve"> details (</w:t>
      </w:r>
      <w:r>
        <w:t>items being purchased, dollar amount, vendor, MCC, dates</w:t>
      </w:r>
      <w:r w:rsidR="0043071A">
        <w:t xml:space="preserve"> for travel if applicable</w:t>
      </w:r>
      <w:r w:rsidRPr="00BC7FBF">
        <w:t>) helps ensure faster processing.</w:t>
      </w:r>
    </w:p>
    <w:p w14:paraId="2A3F60ED" w14:textId="77777777" w:rsidR="00366609" w:rsidRDefault="00366609" w:rsidP="00BC7FBF">
      <w:pPr>
        <w:pBdr>
          <w:bottom w:val="single" w:sz="6" w:space="1" w:color="auto"/>
        </w:pBdr>
      </w:pPr>
    </w:p>
    <w:p w14:paraId="1ADBF6CE" w14:textId="75499749" w:rsidR="008F616F" w:rsidRDefault="000C0AA7" w:rsidP="00BC7FBF">
      <w:pPr>
        <w:rPr>
          <w:b/>
          <w:bCs/>
        </w:rPr>
      </w:pPr>
      <w:r>
        <w:rPr>
          <w:b/>
          <w:bCs/>
        </w:rPr>
        <w:t>Enroll in Fraud Alerts</w:t>
      </w:r>
    </w:p>
    <w:p w14:paraId="13FCB28C" w14:textId="2C4530CA" w:rsidR="000C0AA7" w:rsidRPr="000C0AA7" w:rsidRDefault="000C0AA7" w:rsidP="00BC7FBF">
      <w:r>
        <w:t>Fraud alerts with JPMorgan are tied to your card number. If you receive a replacement card with all-new numbe</w:t>
      </w:r>
      <w:r w:rsidR="00B03810">
        <w:t>rs</w:t>
      </w:r>
      <w:r w:rsidR="00AB0D07">
        <w:t xml:space="preserve">, you must re-enroll in fraud alerts. Enrollment is available via </w:t>
      </w:r>
      <w:hyperlink r:id="rId10" w:history="1">
        <w:r w:rsidR="00A74850">
          <w:rPr>
            <w:rStyle w:val="Hyperlink"/>
            <w:rFonts w:eastAsia="Times New Roman"/>
          </w:rPr>
          <w:t>https://ccportal.jpmorgan.com/ccportal/login</w:t>
        </w:r>
      </w:hyperlink>
      <w:r w:rsidR="00A74850">
        <w:rPr>
          <w:rFonts w:eastAsia="Times New Roman"/>
        </w:rPr>
        <w:t>. The last page has you verify your email and/or phone number to enroll.</w:t>
      </w:r>
    </w:p>
    <w:sectPr w:rsidR="000C0AA7" w:rsidRPr="000C0A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0857" w14:textId="77777777" w:rsidR="004505C1" w:rsidRDefault="004505C1" w:rsidP="00BC7FBF">
      <w:pPr>
        <w:spacing w:after="0" w:line="240" w:lineRule="auto"/>
      </w:pPr>
      <w:r>
        <w:separator/>
      </w:r>
    </w:p>
  </w:endnote>
  <w:endnote w:type="continuationSeparator" w:id="0">
    <w:p w14:paraId="360F7960" w14:textId="77777777" w:rsidR="004505C1" w:rsidRDefault="004505C1" w:rsidP="00BC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EFC9" w14:textId="77777777" w:rsidR="004505C1" w:rsidRDefault="004505C1" w:rsidP="00BC7FBF">
      <w:pPr>
        <w:spacing w:after="0" w:line="240" w:lineRule="auto"/>
      </w:pPr>
      <w:r>
        <w:separator/>
      </w:r>
    </w:p>
  </w:footnote>
  <w:footnote w:type="continuationSeparator" w:id="0">
    <w:p w14:paraId="3899BD79" w14:textId="77777777" w:rsidR="004505C1" w:rsidRDefault="004505C1" w:rsidP="00BC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D27"/>
    <w:multiLevelType w:val="multilevel"/>
    <w:tmpl w:val="64488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725F4"/>
    <w:multiLevelType w:val="multilevel"/>
    <w:tmpl w:val="66A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3"/>
    <w:rsid w:val="0005101B"/>
    <w:rsid w:val="000C0AA7"/>
    <w:rsid w:val="00132C1A"/>
    <w:rsid w:val="003033F3"/>
    <w:rsid w:val="00366609"/>
    <w:rsid w:val="003B55D1"/>
    <w:rsid w:val="003C0F8E"/>
    <w:rsid w:val="0043071A"/>
    <w:rsid w:val="004505C1"/>
    <w:rsid w:val="00461633"/>
    <w:rsid w:val="00471A05"/>
    <w:rsid w:val="00473134"/>
    <w:rsid w:val="004B1566"/>
    <w:rsid w:val="00507FFC"/>
    <w:rsid w:val="00541EA8"/>
    <w:rsid w:val="00594100"/>
    <w:rsid w:val="00686EE0"/>
    <w:rsid w:val="00711604"/>
    <w:rsid w:val="00760A48"/>
    <w:rsid w:val="008B033D"/>
    <w:rsid w:val="008F3E6D"/>
    <w:rsid w:val="008F616F"/>
    <w:rsid w:val="00974D70"/>
    <w:rsid w:val="009E431D"/>
    <w:rsid w:val="00A542EA"/>
    <w:rsid w:val="00A74850"/>
    <w:rsid w:val="00AB0D07"/>
    <w:rsid w:val="00B03810"/>
    <w:rsid w:val="00B62102"/>
    <w:rsid w:val="00BC7FBF"/>
    <w:rsid w:val="00BE26CD"/>
    <w:rsid w:val="00C46E37"/>
    <w:rsid w:val="00C76D39"/>
    <w:rsid w:val="00CE08EE"/>
    <w:rsid w:val="00D66BEB"/>
    <w:rsid w:val="00D829B1"/>
    <w:rsid w:val="00DB6F5F"/>
    <w:rsid w:val="00E12FFA"/>
    <w:rsid w:val="00ED5C86"/>
    <w:rsid w:val="00F5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6A0C"/>
  <w15:chartTrackingRefBased/>
  <w15:docId w15:val="{DF61CF5D-EC50-49D5-B05D-8DE2BF1D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48"/>
    <w:rPr>
      <w:rFonts w:ascii="Arial" w:hAnsi="Arial"/>
      <w:color w:val="000000" w:themeColor="text1"/>
      <w:sz w:val="24"/>
    </w:rPr>
  </w:style>
  <w:style w:type="paragraph" w:styleId="Heading1">
    <w:name w:val="heading 1"/>
    <w:aliases w:val="H1"/>
    <w:basedOn w:val="Normal"/>
    <w:next w:val="Normal"/>
    <w:link w:val="Heading1Char"/>
    <w:autoRedefine/>
    <w:uiPriority w:val="9"/>
    <w:qFormat/>
    <w:rsid w:val="00760A48"/>
    <w:pPr>
      <w:keepNext/>
      <w:keepLines/>
      <w:spacing w:before="240" w:after="0"/>
      <w:outlineLvl w:val="0"/>
    </w:pPr>
    <w:rPr>
      <w:rFonts w:eastAsiaTheme="majorEastAsia" w:cstheme="majorBidi"/>
      <w:b/>
      <w:color w:val="4D1979"/>
      <w:sz w:val="48"/>
      <w:szCs w:val="32"/>
    </w:rPr>
  </w:style>
  <w:style w:type="paragraph" w:styleId="Heading2">
    <w:name w:val="heading 2"/>
    <w:aliases w:val="H2"/>
    <w:basedOn w:val="Normal"/>
    <w:next w:val="Normal"/>
    <w:link w:val="Heading2Char"/>
    <w:autoRedefine/>
    <w:uiPriority w:val="9"/>
    <w:unhideWhenUsed/>
    <w:qFormat/>
    <w:rsid w:val="00760A48"/>
    <w:pPr>
      <w:keepNext/>
      <w:keepLines/>
      <w:spacing w:before="40" w:after="0"/>
      <w:outlineLvl w:val="1"/>
    </w:pPr>
    <w:rPr>
      <w:rFonts w:eastAsiaTheme="majorEastAsia" w:cstheme="majorBidi"/>
      <w:b/>
      <w:sz w:val="40"/>
      <w:szCs w:val="26"/>
    </w:rPr>
  </w:style>
  <w:style w:type="paragraph" w:styleId="Heading3">
    <w:name w:val="heading 3"/>
    <w:aliases w:val="H3"/>
    <w:basedOn w:val="Normal"/>
    <w:next w:val="Normal"/>
    <w:link w:val="Heading3Char"/>
    <w:autoRedefine/>
    <w:uiPriority w:val="9"/>
    <w:unhideWhenUsed/>
    <w:qFormat/>
    <w:rsid w:val="00760A48"/>
    <w:pPr>
      <w:keepNext/>
      <w:keepLines/>
      <w:spacing w:before="40" w:after="0"/>
      <w:outlineLvl w:val="2"/>
    </w:pPr>
    <w:rPr>
      <w:rFonts w:eastAsiaTheme="majorEastAsia" w:cstheme="majorBidi"/>
      <w:b/>
      <w:color w:val="4D1979"/>
      <w:szCs w:val="24"/>
    </w:rPr>
  </w:style>
  <w:style w:type="paragraph" w:styleId="Heading4">
    <w:name w:val="heading 4"/>
    <w:aliases w:val="H4"/>
    <w:basedOn w:val="Normal"/>
    <w:next w:val="Normal"/>
    <w:link w:val="Heading4Char"/>
    <w:autoRedefine/>
    <w:uiPriority w:val="9"/>
    <w:unhideWhenUsed/>
    <w:qFormat/>
    <w:rsid w:val="00760A48"/>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760A48"/>
    <w:rPr>
      <w:rFonts w:ascii="Arial" w:eastAsiaTheme="majorEastAsia" w:hAnsi="Arial" w:cstheme="majorBidi"/>
      <w:b/>
      <w:color w:val="4D1979"/>
      <w:sz w:val="48"/>
      <w:szCs w:val="32"/>
    </w:rPr>
  </w:style>
  <w:style w:type="character" w:customStyle="1" w:styleId="Heading2Char">
    <w:name w:val="Heading 2 Char"/>
    <w:aliases w:val="H2 Char"/>
    <w:basedOn w:val="DefaultParagraphFont"/>
    <w:link w:val="Heading2"/>
    <w:uiPriority w:val="9"/>
    <w:rsid w:val="00760A48"/>
    <w:rPr>
      <w:rFonts w:ascii="Arial" w:eastAsiaTheme="majorEastAsia" w:hAnsi="Arial" w:cstheme="majorBidi"/>
      <w:b/>
      <w:color w:val="000000" w:themeColor="text1"/>
      <w:sz w:val="40"/>
      <w:szCs w:val="26"/>
    </w:rPr>
  </w:style>
  <w:style w:type="character" w:customStyle="1" w:styleId="Heading3Char">
    <w:name w:val="Heading 3 Char"/>
    <w:aliases w:val="H3 Char"/>
    <w:basedOn w:val="DefaultParagraphFont"/>
    <w:link w:val="Heading3"/>
    <w:uiPriority w:val="9"/>
    <w:rsid w:val="00760A48"/>
    <w:rPr>
      <w:rFonts w:ascii="Arial" w:eastAsiaTheme="majorEastAsia" w:hAnsi="Arial" w:cstheme="majorBidi"/>
      <w:b/>
      <w:color w:val="4D1979"/>
      <w:sz w:val="24"/>
      <w:szCs w:val="24"/>
    </w:rPr>
  </w:style>
  <w:style w:type="character" w:customStyle="1" w:styleId="Heading4Char">
    <w:name w:val="Heading 4 Char"/>
    <w:aliases w:val="H4 Char"/>
    <w:basedOn w:val="DefaultParagraphFont"/>
    <w:link w:val="Heading4"/>
    <w:uiPriority w:val="9"/>
    <w:rsid w:val="00760A48"/>
    <w:rPr>
      <w:rFonts w:ascii="Arial" w:eastAsiaTheme="majorEastAsia" w:hAnsi="Arial" w:cstheme="majorBidi"/>
      <w:b/>
      <w:i/>
      <w:iCs/>
      <w:color w:val="000000" w:themeColor="text1"/>
      <w:sz w:val="24"/>
    </w:rPr>
  </w:style>
  <w:style w:type="paragraph" w:styleId="ListParagraph">
    <w:name w:val="List Paragraph"/>
    <w:basedOn w:val="Normal"/>
    <w:autoRedefine/>
    <w:uiPriority w:val="34"/>
    <w:qFormat/>
    <w:rsid w:val="00760A48"/>
    <w:pPr>
      <w:ind w:left="720"/>
      <w:contextualSpacing/>
    </w:pPr>
  </w:style>
  <w:style w:type="character" w:styleId="Hyperlink">
    <w:name w:val="Hyperlink"/>
    <w:basedOn w:val="DefaultParagraphFont"/>
    <w:uiPriority w:val="99"/>
    <w:unhideWhenUsed/>
    <w:rsid w:val="00594100"/>
    <w:rPr>
      <w:color w:val="0563C1" w:themeColor="hyperlink"/>
      <w:u w:val="single"/>
    </w:rPr>
  </w:style>
  <w:style w:type="character" w:styleId="UnresolvedMention">
    <w:name w:val="Unresolved Mention"/>
    <w:basedOn w:val="DefaultParagraphFont"/>
    <w:uiPriority w:val="99"/>
    <w:semiHidden/>
    <w:unhideWhenUsed/>
    <w:rsid w:val="00594100"/>
    <w:rPr>
      <w:color w:val="605E5C"/>
      <w:shd w:val="clear" w:color="auto" w:fill="E1DFDD"/>
    </w:rPr>
  </w:style>
  <w:style w:type="paragraph" w:styleId="Header">
    <w:name w:val="header"/>
    <w:basedOn w:val="Normal"/>
    <w:link w:val="HeaderChar"/>
    <w:uiPriority w:val="99"/>
    <w:unhideWhenUsed/>
    <w:rsid w:val="00BC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FBF"/>
    <w:rPr>
      <w:rFonts w:ascii="Arial" w:hAnsi="Arial"/>
      <w:color w:val="000000" w:themeColor="text1"/>
      <w:sz w:val="24"/>
    </w:rPr>
  </w:style>
  <w:style w:type="paragraph" w:styleId="Footer">
    <w:name w:val="footer"/>
    <w:basedOn w:val="Normal"/>
    <w:link w:val="FooterChar"/>
    <w:uiPriority w:val="99"/>
    <w:unhideWhenUsed/>
    <w:rsid w:val="00BC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FBF"/>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47490">
      <w:bodyDiv w:val="1"/>
      <w:marLeft w:val="0"/>
      <w:marRight w:val="0"/>
      <w:marTop w:val="0"/>
      <w:marBottom w:val="0"/>
      <w:divBdr>
        <w:top w:val="none" w:sz="0" w:space="0" w:color="auto"/>
        <w:left w:val="none" w:sz="0" w:space="0" w:color="auto"/>
        <w:bottom w:val="none" w:sz="0" w:space="0" w:color="auto"/>
        <w:right w:val="none" w:sz="0" w:space="0" w:color="auto"/>
      </w:divBdr>
    </w:div>
    <w:div w:id="19957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tcu.edu/contracts-procurement-travel/card-programs.php" TargetMode="External"/><Relationship Id="rId3" Type="http://schemas.openxmlformats.org/officeDocument/2006/relationships/settings" Target="settings.xml"/><Relationship Id="rId7" Type="http://schemas.openxmlformats.org/officeDocument/2006/relationships/hyperlink" Target="mailto:Concur@t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ldefense.com/v3/__https:/ccportal.jpmorgan.com/ccportal/login__;!!K6Z8K8YTIA!AsXhuzcwkm0oXPlAL9wh3wCWu4eag9VBRif936UKhMa_U9UsTmfQ_YNbqgObPUnf99br-_6GLmjPgRdSDOTctgwBFwNJ45k$" TargetMode="External"/><Relationship Id="rId4" Type="http://schemas.openxmlformats.org/officeDocument/2006/relationships/webSettings" Target="webSettings.xml"/><Relationship Id="rId9" Type="http://schemas.openxmlformats.org/officeDocument/2006/relationships/hyperlink" Target="mailto:concur@t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409</Words>
  <Characters>2334</Characters>
  <Application>Microsoft Office Word</Application>
  <DocSecurity>0</DocSecurity>
  <Lines>19</Lines>
  <Paragraphs>5</Paragraphs>
  <ScaleCrop>false</ScaleCrop>
  <Company>Texas Christian University</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Mary Grace</dc:creator>
  <cp:keywords/>
  <dc:description/>
  <cp:lastModifiedBy>Held, Mary Grace</cp:lastModifiedBy>
  <cp:revision>35</cp:revision>
  <dcterms:created xsi:type="dcterms:W3CDTF">2026-02-06T22:42:00Z</dcterms:created>
  <dcterms:modified xsi:type="dcterms:W3CDTF">2026-02-12T17:19:00Z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8205a28f-2b2b-467e-ba01-93109b964175</vt:lpwstr>
  </property>
</Properties>
</file>